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6DEE" w14:textId="77777777" w:rsidR="00A103C0" w:rsidRDefault="002F5715" w:rsidP="000438FE">
      <w:pPr>
        <w:pStyle w:val="Bod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Mission </w:t>
      </w:r>
      <w:r w:rsidR="00E1004E">
        <w:rPr>
          <w:rFonts w:ascii="Arial" w:hAnsi="Arial" w:cs="Arial"/>
          <w:b/>
          <w:sz w:val="28"/>
          <w:szCs w:val="28"/>
        </w:rPr>
        <w:t>Giving and Support Policy</w:t>
      </w:r>
    </w:p>
    <w:p w14:paraId="778AFCDA" w14:textId="77777777" w:rsidR="00301DDA" w:rsidRDefault="00301DDA" w:rsidP="000438FE">
      <w:pPr>
        <w:pStyle w:val="Body"/>
      </w:pPr>
    </w:p>
    <w:p w14:paraId="2A133CA5" w14:textId="77777777" w:rsidR="00CB5F9F" w:rsidRPr="0039132C" w:rsidRDefault="00CB5F9F" w:rsidP="00CB5F9F">
      <w:pPr>
        <w:pStyle w:val="SubheadStJohnsAnnualReport"/>
        <w:rPr>
          <w:i w:val="0"/>
          <w:sz w:val="24"/>
          <w:szCs w:val="24"/>
        </w:rPr>
      </w:pPr>
      <w:r w:rsidRPr="0039132C">
        <w:rPr>
          <w:i w:val="0"/>
          <w:sz w:val="24"/>
          <w:szCs w:val="24"/>
        </w:rPr>
        <w:t>Introduction</w:t>
      </w:r>
    </w:p>
    <w:p w14:paraId="3981C765" w14:textId="77777777" w:rsidR="0088340C" w:rsidRPr="0039132C" w:rsidRDefault="0088340C" w:rsidP="00CB5F9F">
      <w:pPr>
        <w:jc w:val="both"/>
        <w:rPr>
          <w:rFonts w:ascii="Arial" w:hAnsi="Arial" w:cs="Arial"/>
        </w:rPr>
      </w:pPr>
    </w:p>
    <w:p w14:paraId="0BD47A76" w14:textId="2FB58205" w:rsidR="0088340C" w:rsidRPr="0039132C" w:rsidRDefault="0088340C" w:rsidP="00CB5F9F">
      <w:pPr>
        <w:jc w:val="both"/>
        <w:rPr>
          <w:rFonts w:ascii="Arial" w:hAnsi="Arial" w:cs="Arial"/>
        </w:rPr>
      </w:pPr>
      <w:r w:rsidRPr="0039132C">
        <w:rPr>
          <w:rFonts w:ascii="Arial" w:hAnsi="Arial" w:cs="Arial"/>
        </w:rPr>
        <w:t>From the website:</w:t>
      </w:r>
    </w:p>
    <w:p w14:paraId="06E93B8A" w14:textId="77777777" w:rsidR="0088340C" w:rsidRPr="0039132C" w:rsidRDefault="0088340C" w:rsidP="00CB5F9F">
      <w:pPr>
        <w:jc w:val="both"/>
        <w:rPr>
          <w:rFonts w:ascii="Arial" w:hAnsi="Arial" w:cs="Arial"/>
        </w:rPr>
      </w:pPr>
    </w:p>
    <w:p w14:paraId="684C8592" w14:textId="3DDDB1E9" w:rsidR="0088340C" w:rsidRPr="0039132C" w:rsidRDefault="0088340C" w:rsidP="00CB5F9F">
      <w:pPr>
        <w:jc w:val="both"/>
        <w:rPr>
          <w:rFonts w:ascii="Arial" w:hAnsi="Arial" w:cs="Arial"/>
        </w:rPr>
      </w:pPr>
      <w:r w:rsidRPr="0039132C">
        <w:rPr>
          <w:rFonts w:ascii="Arial" w:hAnsi="Arial" w:cs="Arial"/>
          <w:color w:val="000000"/>
        </w:rPr>
        <w:t xml:space="preserve">“We believe that contributing financially to groups, communities, and situations beyond our own parish is very important. Therefore, as a church, we have agreed that at least 10% of our </w:t>
      </w:r>
      <w:r w:rsidR="00773800">
        <w:rPr>
          <w:rFonts w:ascii="Arial" w:hAnsi="Arial" w:cs="Arial"/>
          <w:color w:val="000000"/>
        </w:rPr>
        <w:t xml:space="preserve">free will </w:t>
      </w:r>
      <w:r w:rsidR="001345BE">
        <w:rPr>
          <w:rFonts w:ascii="Arial" w:hAnsi="Arial" w:cs="Arial"/>
          <w:color w:val="000000"/>
        </w:rPr>
        <w:t xml:space="preserve">gift </w:t>
      </w:r>
      <w:r w:rsidR="00773800">
        <w:rPr>
          <w:rFonts w:ascii="Arial" w:hAnsi="Arial" w:cs="Arial"/>
          <w:color w:val="000000"/>
        </w:rPr>
        <w:t>offering</w:t>
      </w:r>
      <w:r w:rsidR="001345BE">
        <w:rPr>
          <w:rFonts w:ascii="Arial" w:hAnsi="Arial" w:cs="Arial"/>
          <w:color w:val="000000"/>
        </w:rPr>
        <w:t>s</w:t>
      </w:r>
      <w:r w:rsidRPr="0039132C">
        <w:rPr>
          <w:rFonts w:ascii="Arial" w:hAnsi="Arial" w:cs="Arial"/>
          <w:color w:val="000000"/>
        </w:rPr>
        <w:t xml:space="preserve"> should be given to Christian </w:t>
      </w:r>
      <w:r w:rsidR="001601DB">
        <w:rPr>
          <w:rFonts w:ascii="Arial" w:hAnsi="Arial" w:cs="Arial"/>
          <w:color w:val="000000"/>
        </w:rPr>
        <w:t xml:space="preserve">groups and other organisations </w:t>
      </w:r>
      <w:r w:rsidR="00596443">
        <w:rPr>
          <w:rFonts w:ascii="Arial" w:hAnsi="Arial" w:cs="Arial"/>
          <w:color w:val="000000"/>
        </w:rPr>
        <w:t xml:space="preserve">whose </w:t>
      </w:r>
      <w:r w:rsidRPr="0039132C">
        <w:rPr>
          <w:rFonts w:ascii="Arial" w:hAnsi="Arial" w:cs="Arial"/>
          <w:color w:val="000000"/>
        </w:rPr>
        <w:t xml:space="preserve">work </w:t>
      </w:r>
      <w:r w:rsidR="00F83FC2">
        <w:rPr>
          <w:rFonts w:ascii="Arial" w:hAnsi="Arial" w:cs="Arial"/>
          <w:color w:val="000000"/>
        </w:rPr>
        <w:t>matches our values</w:t>
      </w:r>
      <w:r w:rsidRPr="0039132C">
        <w:rPr>
          <w:rFonts w:ascii="Arial" w:hAnsi="Arial" w:cs="Arial"/>
          <w:color w:val="000000"/>
        </w:rPr>
        <w:t>, whether in the UK or further afield.”</w:t>
      </w:r>
    </w:p>
    <w:p w14:paraId="40BDEE16" w14:textId="77777777" w:rsidR="0088340C" w:rsidRPr="0039132C" w:rsidRDefault="0088340C" w:rsidP="00CB5F9F">
      <w:pPr>
        <w:jc w:val="both"/>
        <w:rPr>
          <w:rFonts w:ascii="Arial" w:hAnsi="Arial" w:cs="Arial"/>
        </w:rPr>
      </w:pPr>
    </w:p>
    <w:p w14:paraId="553AC1B0" w14:textId="77777777" w:rsidR="00966775" w:rsidRPr="0039132C" w:rsidRDefault="00966775" w:rsidP="00966775">
      <w:pPr>
        <w:pStyle w:val="Body"/>
        <w:tabs>
          <w:tab w:val="left" w:pos="567"/>
          <w:tab w:val="right" w:pos="3969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39132C">
        <w:rPr>
          <w:rFonts w:ascii="Arial" w:hAnsi="Arial" w:cs="Arial"/>
          <w:sz w:val="24"/>
          <w:szCs w:val="24"/>
        </w:rPr>
        <w:t xml:space="preserve">The purpose of this policy is to define how the tithe is set and to describe the process for allocating it each year to charities. </w:t>
      </w:r>
      <w:r w:rsidRPr="0039132C">
        <w:rPr>
          <w:rFonts w:ascii="Arial" w:hAnsi="Arial" w:cs="Arial"/>
          <w:color w:val="auto"/>
          <w:sz w:val="24"/>
          <w:szCs w:val="24"/>
        </w:rPr>
        <w:t>This policy is to be renewed every 3 years.</w:t>
      </w:r>
    </w:p>
    <w:p w14:paraId="6EFE48DB" w14:textId="4A256D1B" w:rsidR="00966775" w:rsidRPr="0039132C" w:rsidRDefault="00966775" w:rsidP="00966775">
      <w:pPr>
        <w:jc w:val="both"/>
        <w:rPr>
          <w:rFonts w:ascii="Arial" w:hAnsi="Arial" w:cs="Arial"/>
        </w:rPr>
      </w:pPr>
    </w:p>
    <w:p w14:paraId="7EB814B8" w14:textId="77777777" w:rsidR="00966775" w:rsidRPr="0039132C" w:rsidRDefault="00966775" w:rsidP="00CB5F9F">
      <w:pPr>
        <w:jc w:val="both"/>
        <w:rPr>
          <w:rFonts w:ascii="Arial" w:hAnsi="Arial" w:cs="Arial"/>
        </w:rPr>
      </w:pPr>
    </w:p>
    <w:p w14:paraId="092F2E2E" w14:textId="77777777" w:rsidR="00CB5F9F" w:rsidRPr="0039132C" w:rsidRDefault="00CB5F9F" w:rsidP="000438FE">
      <w:pPr>
        <w:pStyle w:val="Body"/>
        <w:rPr>
          <w:rFonts w:ascii="Arial" w:hAnsi="Arial" w:cs="Arial"/>
          <w:sz w:val="24"/>
          <w:szCs w:val="24"/>
        </w:rPr>
      </w:pPr>
    </w:p>
    <w:p w14:paraId="720B58AD" w14:textId="77777777" w:rsidR="00301DDA" w:rsidRPr="0039132C" w:rsidRDefault="00DC4F62" w:rsidP="00301DDA">
      <w:pPr>
        <w:pStyle w:val="SubheadStJohnsAnnualReport"/>
        <w:rPr>
          <w:i w:val="0"/>
          <w:sz w:val="24"/>
          <w:szCs w:val="24"/>
        </w:rPr>
      </w:pPr>
      <w:bookmarkStart w:id="0" w:name="h.2bn6wsx" w:colFirst="0" w:colLast="0"/>
      <w:bookmarkEnd w:id="0"/>
      <w:r w:rsidRPr="0039132C">
        <w:rPr>
          <w:i w:val="0"/>
          <w:sz w:val="24"/>
          <w:szCs w:val="24"/>
        </w:rPr>
        <w:t>Policy and A</w:t>
      </w:r>
      <w:r w:rsidR="009B37AF" w:rsidRPr="0039132C">
        <w:rPr>
          <w:i w:val="0"/>
          <w:sz w:val="24"/>
          <w:szCs w:val="24"/>
        </w:rPr>
        <w:t xml:space="preserve">pproval </w:t>
      </w:r>
      <w:r w:rsidRPr="0039132C">
        <w:rPr>
          <w:i w:val="0"/>
          <w:sz w:val="24"/>
          <w:szCs w:val="24"/>
        </w:rPr>
        <w:t>P</w:t>
      </w:r>
      <w:r w:rsidR="002F5715" w:rsidRPr="0039132C">
        <w:rPr>
          <w:i w:val="0"/>
          <w:sz w:val="24"/>
          <w:szCs w:val="24"/>
        </w:rPr>
        <w:t>rocess</w:t>
      </w:r>
    </w:p>
    <w:p w14:paraId="3855C701" w14:textId="2F491566" w:rsidR="00301DDA" w:rsidRPr="0039132C" w:rsidRDefault="00770AB2" w:rsidP="00CB5F9F">
      <w:pPr>
        <w:jc w:val="both"/>
        <w:rPr>
          <w:rFonts w:ascii="Arial" w:eastAsia="Arial" w:hAnsi="Arial" w:cs="Arial"/>
        </w:rPr>
      </w:pPr>
      <w:r w:rsidRPr="0039132C">
        <w:rPr>
          <w:rFonts w:ascii="Arial" w:eastAsia="Arial" w:hAnsi="Arial" w:cs="Arial"/>
        </w:rPr>
        <w:t>The</w:t>
      </w:r>
      <w:r w:rsidR="00BA68B5" w:rsidRPr="0039132C">
        <w:rPr>
          <w:rFonts w:ascii="Arial" w:eastAsia="Arial" w:hAnsi="Arial" w:cs="Arial"/>
        </w:rPr>
        <w:t>re wil</w:t>
      </w:r>
      <w:r w:rsidR="002D0BF7" w:rsidRPr="0039132C">
        <w:rPr>
          <w:rFonts w:ascii="Arial" w:eastAsia="Arial" w:hAnsi="Arial" w:cs="Arial"/>
        </w:rPr>
        <w:t xml:space="preserve">l be </w:t>
      </w:r>
      <w:r w:rsidR="00B07D21" w:rsidRPr="0039132C">
        <w:rPr>
          <w:rFonts w:ascii="Arial" w:eastAsia="Arial" w:hAnsi="Arial" w:cs="Arial"/>
        </w:rPr>
        <w:t xml:space="preserve">a single </w:t>
      </w:r>
      <w:r w:rsidRPr="0039132C">
        <w:rPr>
          <w:rFonts w:ascii="Arial" w:eastAsia="Arial" w:hAnsi="Arial" w:cs="Arial"/>
        </w:rPr>
        <w:t>Mission Group</w:t>
      </w:r>
      <w:r w:rsidR="002D0BF7" w:rsidRPr="0039132C">
        <w:rPr>
          <w:rFonts w:ascii="Arial" w:eastAsia="Arial" w:hAnsi="Arial" w:cs="Arial"/>
        </w:rPr>
        <w:t xml:space="preserve"> </w:t>
      </w:r>
      <w:r w:rsidR="00B07D21" w:rsidRPr="0039132C">
        <w:rPr>
          <w:rFonts w:ascii="Arial" w:eastAsia="Arial" w:hAnsi="Arial" w:cs="Arial"/>
        </w:rPr>
        <w:t xml:space="preserve">that covers every </w:t>
      </w:r>
      <w:r w:rsidR="002D0BF7" w:rsidRPr="0039132C">
        <w:rPr>
          <w:rFonts w:ascii="Arial" w:eastAsia="Arial" w:hAnsi="Arial" w:cs="Arial"/>
        </w:rPr>
        <w:t>church</w:t>
      </w:r>
      <w:r w:rsidR="00B07D21" w:rsidRPr="0039132C">
        <w:rPr>
          <w:rFonts w:ascii="Arial" w:eastAsia="Arial" w:hAnsi="Arial" w:cs="Arial"/>
        </w:rPr>
        <w:t xml:space="preserve">/community </w:t>
      </w:r>
      <w:r w:rsidR="002D0BF7" w:rsidRPr="0039132C">
        <w:rPr>
          <w:rFonts w:ascii="Arial" w:eastAsia="Arial" w:hAnsi="Arial" w:cs="Arial"/>
        </w:rPr>
        <w:t xml:space="preserve">in the parish and </w:t>
      </w:r>
      <w:r w:rsidR="00BA68B5" w:rsidRPr="0039132C">
        <w:rPr>
          <w:rFonts w:ascii="Arial" w:eastAsia="Arial" w:hAnsi="Arial" w:cs="Arial"/>
        </w:rPr>
        <w:t>it should</w:t>
      </w:r>
      <w:r w:rsidR="002D0BF7" w:rsidRPr="0039132C">
        <w:rPr>
          <w:rFonts w:ascii="Arial" w:eastAsia="Arial" w:hAnsi="Arial" w:cs="Arial"/>
        </w:rPr>
        <w:t xml:space="preserve"> include at least one P</w:t>
      </w:r>
      <w:r w:rsidR="00B07D21" w:rsidRPr="0039132C">
        <w:rPr>
          <w:rFonts w:ascii="Arial" w:eastAsia="Arial" w:hAnsi="Arial" w:cs="Arial"/>
        </w:rPr>
        <w:t>CC member</w:t>
      </w:r>
      <w:r w:rsidR="00966775" w:rsidRPr="0039132C">
        <w:rPr>
          <w:rFonts w:ascii="Arial" w:eastAsia="Arial" w:hAnsi="Arial" w:cs="Arial"/>
        </w:rPr>
        <w:t xml:space="preserve">. </w:t>
      </w:r>
      <w:r w:rsidR="00B07D21" w:rsidRPr="0039132C">
        <w:rPr>
          <w:rFonts w:ascii="Arial" w:eastAsia="Arial" w:hAnsi="Arial" w:cs="Arial"/>
        </w:rPr>
        <w:t>The Mission Group</w:t>
      </w:r>
      <w:r w:rsidR="002D0BF7" w:rsidRPr="0039132C">
        <w:rPr>
          <w:rFonts w:ascii="Arial" w:eastAsia="Arial" w:hAnsi="Arial" w:cs="Arial"/>
        </w:rPr>
        <w:t xml:space="preserve"> shall oversee the church’s support, both financial and non-financial, for local, national, and international mission charities.</w:t>
      </w:r>
    </w:p>
    <w:p w14:paraId="4DC04967" w14:textId="77777777" w:rsidR="00762062" w:rsidRPr="0039132C" w:rsidRDefault="00762062" w:rsidP="009B37AF">
      <w:pPr>
        <w:rPr>
          <w:rFonts w:ascii="Arial" w:eastAsia="Arial" w:hAnsi="Arial" w:cs="Arial"/>
        </w:rPr>
      </w:pPr>
    </w:p>
    <w:p w14:paraId="64CCDEAA" w14:textId="77777777" w:rsidR="002D0BF7" w:rsidRPr="0039132C" w:rsidRDefault="002D0BF7" w:rsidP="009B37AF">
      <w:pPr>
        <w:rPr>
          <w:rFonts w:ascii="Arial" w:eastAsia="Arial" w:hAnsi="Arial" w:cs="Arial"/>
        </w:rPr>
      </w:pPr>
      <w:r w:rsidRPr="0039132C">
        <w:rPr>
          <w:rFonts w:ascii="Arial" w:eastAsia="Arial" w:hAnsi="Arial" w:cs="Arial"/>
        </w:rPr>
        <w:t xml:space="preserve">The following process </w:t>
      </w:r>
      <w:r w:rsidR="00BA68B5" w:rsidRPr="0039132C">
        <w:rPr>
          <w:rFonts w:ascii="Arial" w:eastAsia="Arial" w:hAnsi="Arial" w:cs="Arial"/>
        </w:rPr>
        <w:t>wi</w:t>
      </w:r>
      <w:r w:rsidRPr="0039132C">
        <w:rPr>
          <w:rFonts w:ascii="Arial" w:eastAsia="Arial" w:hAnsi="Arial" w:cs="Arial"/>
        </w:rPr>
        <w:t>ll be applied each year for agreeing and distributing the tithe:</w:t>
      </w:r>
    </w:p>
    <w:p w14:paraId="22870F54" w14:textId="77777777" w:rsidR="002D0BF7" w:rsidRPr="0039132C" w:rsidRDefault="002D0BF7" w:rsidP="009B37AF">
      <w:pPr>
        <w:rPr>
          <w:rFonts w:ascii="Arial" w:eastAsia="Arial" w:hAnsi="Arial" w:cs="Arial"/>
        </w:rPr>
      </w:pPr>
      <w:r w:rsidRPr="0039132C">
        <w:rPr>
          <w:rFonts w:ascii="Arial" w:eastAsia="Arial" w:hAnsi="Arial" w:cs="Arial"/>
        </w:rPr>
        <w:t xml:space="preserve"> </w:t>
      </w:r>
    </w:p>
    <w:p w14:paraId="3263CEC0" w14:textId="777B90A1" w:rsidR="00301DDA" w:rsidRPr="0039132C" w:rsidRDefault="002F5715" w:rsidP="00762062">
      <w:pPr>
        <w:pStyle w:val="Body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9132C">
        <w:rPr>
          <w:rFonts w:ascii="Arial" w:hAnsi="Arial" w:cs="Arial"/>
          <w:sz w:val="24"/>
          <w:szCs w:val="24"/>
        </w:rPr>
        <w:t>When the annual budget is approved (</w:t>
      </w:r>
      <w:r w:rsidR="00B07D21" w:rsidRPr="0039132C">
        <w:rPr>
          <w:rFonts w:ascii="Arial" w:hAnsi="Arial" w:cs="Arial"/>
          <w:sz w:val="24"/>
          <w:szCs w:val="24"/>
        </w:rPr>
        <w:t xml:space="preserve">usually </w:t>
      </w:r>
      <w:r w:rsidRPr="0039132C">
        <w:rPr>
          <w:rFonts w:ascii="Arial" w:hAnsi="Arial" w:cs="Arial"/>
          <w:sz w:val="24"/>
          <w:szCs w:val="24"/>
        </w:rPr>
        <w:t xml:space="preserve">in January), </w:t>
      </w:r>
      <w:r w:rsidR="002D0BF7" w:rsidRPr="0039132C">
        <w:rPr>
          <w:rFonts w:ascii="Arial" w:hAnsi="Arial" w:cs="Arial"/>
          <w:sz w:val="24"/>
          <w:szCs w:val="24"/>
        </w:rPr>
        <w:t xml:space="preserve">the </w:t>
      </w:r>
      <w:r w:rsidRPr="0039132C">
        <w:rPr>
          <w:rFonts w:ascii="Arial" w:hAnsi="Arial" w:cs="Arial"/>
          <w:sz w:val="24"/>
          <w:szCs w:val="24"/>
        </w:rPr>
        <w:t>PCC will agree</w:t>
      </w:r>
      <w:r w:rsidR="00B07D21" w:rsidRPr="0039132C">
        <w:rPr>
          <w:rFonts w:ascii="Arial" w:hAnsi="Arial" w:cs="Arial"/>
          <w:sz w:val="24"/>
          <w:szCs w:val="24"/>
        </w:rPr>
        <w:t xml:space="preserve"> the Mission T</w:t>
      </w:r>
      <w:r w:rsidRPr="0039132C">
        <w:rPr>
          <w:rFonts w:ascii="Arial" w:hAnsi="Arial" w:cs="Arial"/>
          <w:sz w:val="24"/>
          <w:szCs w:val="24"/>
        </w:rPr>
        <w:t xml:space="preserve">ithe </w:t>
      </w:r>
      <w:r w:rsidR="00CB5F9F" w:rsidRPr="0039132C">
        <w:rPr>
          <w:rFonts w:ascii="Arial" w:hAnsi="Arial" w:cs="Arial"/>
          <w:sz w:val="24"/>
          <w:szCs w:val="24"/>
        </w:rPr>
        <w:t>for the coming year</w:t>
      </w:r>
      <w:r w:rsidR="00762062" w:rsidRPr="0039132C">
        <w:rPr>
          <w:rFonts w:ascii="Arial" w:hAnsi="Arial" w:cs="Arial"/>
          <w:sz w:val="24"/>
          <w:szCs w:val="24"/>
        </w:rPr>
        <w:t xml:space="preserve"> and the PCC </w:t>
      </w:r>
      <w:r w:rsidR="00966775" w:rsidRPr="0039132C">
        <w:rPr>
          <w:rFonts w:ascii="Arial" w:hAnsi="Arial" w:cs="Arial"/>
          <w:sz w:val="24"/>
          <w:szCs w:val="24"/>
        </w:rPr>
        <w:t>S</w:t>
      </w:r>
      <w:r w:rsidR="00762062" w:rsidRPr="0039132C">
        <w:rPr>
          <w:rFonts w:ascii="Arial" w:hAnsi="Arial" w:cs="Arial"/>
          <w:sz w:val="24"/>
          <w:szCs w:val="24"/>
        </w:rPr>
        <w:t>ecretary will notify the chair of the Mission Group.  The Mission Tithe should be set to not less than 10% of the f</w:t>
      </w:r>
      <w:r w:rsidR="00FD390B">
        <w:rPr>
          <w:rFonts w:ascii="Arial" w:hAnsi="Arial" w:cs="Arial"/>
          <w:sz w:val="24"/>
          <w:szCs w:val="24"/>
        </w:rPr>
        <w:t xml:space="preserve">ree will gift offerings </w:t>
      </w:r>
      <w:r w:rsidR="00762062" w:rsidRPr="0039132C">
        <w:rPr>
          <w:rFonts w:ascii="Arial" w:hAnsi="Arial" w:cs="Arial"/>
          <w:sz w:val="24"/>
          <w:szCs w:val="24"/>
        </w:rPr>
        <w:t>for the coming year.</w:t>
      </w:r>
    </w:p>
    <w:p w14:paraId="39FF6F4C" w14:textId="77777777" w:rsidR="00762062" w:rsidRPr="0039132C" w:rsidRDefault="00B07D21" w:rsidP="00762062">
      <w:pPr>
        <w:pStyle w:val="Body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9132C">
        <w:rPr>
          <w:rFonts w:ascii="Arial" w:hAnsi="Arial" w:cs="Arial"/>
          <w:sz w:val="24"/>
          <w:szCs w:val="24"/>
        </w:rPr>
        <w:t>The Mission Group</w:t>
      </w:r>
      <w:r w:rsidR="00762062" w:rsidRPr="0039132C">
        <w:rPr>
          <w:rFonts w:ascii="Arial" w:hAnsi="Arial" w:cs="Arial"/>
          <w:sz w:val="24"/>
          <w:szCs w:val="24"/>
        </w:rPr>
        <w:t xml:space="preserve"> will then consider how to allocate the tithe </w:t>
      </w:r>
      <w:r w:rsidR="00BA68B5" w:rsidRPr="0039132C">
        <w:rPr>
          <w:rFonts w:ascii="Arial" w:hAnsi="Arial" w:cs="Arial"/>
          <w:sz w:val="24"/>
          <w:szCs w:val="24"/>
        </w:rPr>
        <w:t xml:space="preserve">for </w:t>
      </w:r>
      <w:r w:rsidR="00762062" w:rsidRPr="0039132C">
        <w:rPr>
          <w:rFonts w:ascii="Arial" w:hAnsi="Arial" w:cs="Arial"/>
          <w:sz w:val="24"/>
          <w:szCs w:val="24"/>
        </w:rPr>
        <w:t>the coming year, with the aim of agreeing d</w:t>
      </w:r>
      <w:r w:rsidR="00E1004E" w:rsidRPr="0039132C">
        <w:rPr>
          <w:rFonts w:ascii="Arial" w:hAnsi="Arial" w:cs="Arial"/>
          <w:sz w:val="24"/>
          <w:szCs w:val="24"/>
        </w:rPr>
        <w:t>etails before the APCM in April for formal approval by the PCC.</w:t>
      </w:r>
      <w:r w:rsidR="00BA68B5" w:rsidRPr="0039132C">
        <w:rPr>
          <w:rFonts w:ascii="Arial" w:hAnsi="Arial" w:cs="Arial"/>
          <w:sz w:val="24"/>
          <w:szCs w:val="24"/>
        </w:rPr>
        <w:t xml:space="preserve">  A portion may remain unallocated to enable requests received during the year to be met.</w:t>
      </w:r>
    </w:p>
    <w:p w14:paraId="175D7E65" w14:textId="77777777" w:rsidR="00762062" w:rsidRPr="0039132C" w:rsidRDefault="00762062" w:rsidP="00762062">
      <w:pPr>
        <w:pStyle w:val="Body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9132C">
        <w:rPr>
          <w:rFonts w:ascii="Arial" w:hAnsi="Arial" w:cs="Arial"/>
          <w:sz w:val="24"/>
          <w:szCs w:val="24"/>
        </w:rPr>
        <w:t>The Treasurer will arrange to make p</w:t>
      </w:r>
      <w:r w:rsidR="00F569CF" w:rsidRPr="0039132C">
        <w:rPr>
          <w:rFonts w:ascii="Arial" w:hAnsi="Arial" w:cs="Arial"/>
          <w:sz w:val="24"/>
          <w:szCs w:val="24"/>
        </w:rPr>
        <w:t>ayments of the tithe during May, confirming to the</w:t>
      </w:r>
      <w:r w:rsidR="002D0BF7" w:rsidRPr="0039132C">
        <w:rPr>
          <w:rFonts w:ascii="Arial" w:hAnsi="Arial" w:cs="Arial"/>
          <w:sz w:val="24"/>
          <w:szCs w:val="24"/>
        </w:rPr>
        <w:t xml:space="preserve"> chair of the</w:t>
      </w:r>
      <w:r w:rsidR="00F569CF" w:rsidRPr="0039132C">
        <w:rPr>
          <w:rFonts w:ascii="Arial" w:hAnsi="Arial" w:cs="Arial"/>
          <w:sz w:val="24"/>
          <w:szCs w:val="24"/>
        </w:rPr>
        <w:t xml:space="preserve"> Mission Group when payments have been made.</w:t>
      </w:r>
      <w:r w:rsidRPr="0039132C">
        <w:rPr>
          <w:rFonts w:ascii="Arial" w:hAnsi="Arial" w:cs="Arial"/>
          <w:sz w:val="24"/>
          <w:szCs w:val="24"/>
        </w:rPr>
        <w:t xml:space="preserve">  Consideration should be given to making payments </w:t>
      </w:r>
      <w:r w:rsidR="00B07D21" w:rsidRPr="0039132C">
        <w:rPr>
          <w:rFonts w:ascii="Arial" w:hAnsi="Arial" w:cs="Arial"/>
          <w:sz w:val="24"/>
          <w:szCs w:val="24"/>
        </w:rPr>
        <w:t xml:space="preserve">annually </w:t>
      </w:r>
      <w:r w:rsidRPr="0039132C">
        <w:rPr>
          <w:rFonts w:ascii="Arial" w:hAnsi="Arial" w:cs="Arial"/>
          <w:sz w:val="24"/>
          <w:szCs w:val="24"/>
        </w:rPr>
        <w:t xml:space="preserve">by </w:t>
      </w:r>
      <w:r w:rsidR="00CB5F9F" w:rsidRPr="0039132C">
        <w:rPr>
          <w:rFonts w:ascii="Arial" w:hAnsi="Arial" w:cs="Arial"/>
          <w:sz w:val="24"/>
          <w:szCs w:val="24"/>
        </w:rPr>
        <w:t xml:space="preserve">electronic payment or </w:t>
      </w:r>
      <w:r w:rsidRPr="0039132C">
        <w:rPr>
          <w:rFonts w:ascii="Arial" w:hAnsi="Arial" w:cs="Arial"/>
          <w:sz w:val="24"/>
          <w:szCs w:val="24"/>
        </w:rPr>
        <w:t>Standing Order where possible.</w:t>
      </w:r>
      <w:r w:rsidR="00E1004E" w:rsidRPr="0039132C">
        <w:rPr>
          <w:rFonts w:ascii="Arial" w:hAnsi="Arial" w:cs="Arial"/>
          <w:sz w:val="24"/>
          <w:szCs w:val="24"/>
        </w:rPr>
        <w:t xml:space="preserve"> The chair of the Mission G</w:t>
      </w:r>
      <w:r w:rsidR="00B9598E" w:rsidRPr="0039132C">
        <w:rPr>
          <w:rFonts w:ascii="Arial" w:hAnsi="Arial" w:cs="Arial"/>
          <w:sz w:val="24"/>
          <w:szCs w:val="24"/>
        </w:rPr>
        <w:t xml:space="preserve">roup </w:t>
      </w:r>
      <w:r w:rsidR="00E1004E" w:rsidRPr="0039132C">
        <w:rPr>
          <w:rFonts w:ascii="Arial" w:hAnsi="Arial" w:cs="Arial"/>
          <w:sz w:val="24"/>
          <w:szCs w:val="24"/>
        </w:rPr>
        <w:t xml:space="preserve">will </w:t>
      </w:r>
      <w:r w:rsidR="00B9598E" w:rsidRPr="0039132C">
        <w:rPr>
          <w:rFonts w:ascii="Arial" w:hAnsi="Arial" w:cs="Arial"/>
          <w:sz w:val="24"/>
          <w:szCs w:val="24"/>
        </w:rPr>
        <w:t xml:space="preserve">communicate </w:t>
      </w:r>
      <w:r w:rsidR="00E1004E" w:rsidRPr="0039132C">
        <w:rPr>
          <w:rFonts w:ascii="Arial" w:hAnsi="Arial" w:cs="Arial"/>
          <w:sz w:val="24"/>
          <w:szCs w:val="24"/>
        </w:rPr>
        <w:t xml:space="preserve">details of our giving </w:t>
      </w:r>
      <w:r w:rsidR="00B9598E" w:rsidRPr="0039132C">
        <w:rPr>
          <w:rFonts w:ascii="Arial" w:hAnsi="Arial" w:cs="Arial"/>
          <w:sz w:val="24"/>
          <w:szCs w:val="24"/>
        </w:rPr>
        <w:t>to our mission partners by letter.</w:t>
      </w:r>
    </w:p>
    <w:p w14:paraId="78C69C9D" w14:textId="77777777" w:rsidR="00762062" w:rsidRPr="0039132C" w:rsidRDefault="00F569CF" w:rsidP="00762062">
      <w:pPr>
        <w:pStyle w:val="Body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9132C">
        <w:rPr>
          <w:rFonts w:ascii="Arial" w:hAnsi="Arial" w:cs="Arial"/>
          <w:sz w:val="24"/>
          <w:szCs w:val="24"/>
        </w:rPr>
        <w:t>During the year, the Mission Grou</w:t>
      </w:r>
      <w:r w:rsidR="00B07D21" w:rsidRPr="0039132C">
        <w:rPr>
          <w:rFonts w:ascii="Arial" w:hAnsi="Arial" w:cs="Arial"/>
          <w:sz w:val="24"/>
          <w:szCs w:val="24"/>
        </w:rPr>
        <w:t>p</w:t>
      </w:r>
      <w:r w:rsidRPr="0039132C">
        <w:rPr>
          <w:rFonts w:ascii="Arial" w:hAnsi="Arial" w:cs="Arial"/>
          <w:sz w:val="24"/>
          <w:szCs w:val="24"/>
        </w:rPr>
        <w:t xml:space="preserve"> may decide to make additional ad-hoc payments to charities</w:t>
      </w:r>
      <w:r w:rsidR="00B9598E" w:rsidRPr="0039132C">
        <w:rPr>
          <w:rFonts w:ascii="Arial" w:hAnsi="Arial" w:cs="Arial"/>
          <w:sz w:val="24"/>
          <w:szCs w:val="24"/>
        </w:rPr>
        <w:t xml:space="preserve"> </w:t>
      </w:r>
      <w:r w:rsidR="00E1004E" w:rsidRPr="0039132C">
        <w:rPr>
          <w:rFonts w:ascii="Arial" w:hAnsi="Arial" w:cs="Arial"/>
          <w:sz w:val="24"/>
          <w:szCs w:val="24"/>
        </w:rPr>
        <w:t>and/</w:t>
      </w:r>
      <w:r w:rsidR="00B9598E" w:rsidRPr="0039132C">
        <w:rPr>
          <w:rFonts w:ascii="Arial" w:hAnsi="Arial" w:cs="Arial"/>
          <w:sz w:val="24"/>
          <w:szCs w:val="24"/>
        </w:rPr>
        <w:t xml:space="preserve">or to </w:t>
      </w:r>
      <w:r w:rsidR="00BA68B5" w:rsidRPr="0039132C">
        <w:rPr>
          <w:rFonts w:ascii="Arial" w:hAnsi="Arial" w:cs="Arial"/>
          <w:sz w:val="24"/>
          <w:szCs w:val="24"/>
        </w:rPr>
        <w:t>individuals who</w:t>
      </w:r>
      <w:r w:rsidR="00B9598E" w:rsidRPr="0039132C">
        <w:rPr>
          <w:rFonts w:ascii="Arial" w:hAnsi="Arial" w:cs="Arial"/>
          <w:sz w:val="24"/>
          <w:szCs w:val="24"/>
        </w:rPr>
        <w:t xml:space="preserve"> apply for funding</w:t>
      </w:r>
      <w:r w:rsidRPr="0039132C">
        <w:rPr>
          <w:rFonts w:ascii="Arial" w:hAnsi="Arial" w:cs="Arial"/>
          <w:sz w:val="24"/>
          <w:szCs w:val="24"/>
        </w:rPr>
        <w:t xml:space="preserve">. </w:t>
      </w:r>
      <w:r w:rsidR="00B9598E" w:rsidRPr="0039132C">
        <w:rPr>
          <w:rFonts w:ascii="Arial" w:hAnsi="Arial" w:cs="Arial"/>
          <w:sz w:val="24"/>
          <w:szCs w:val="24"/>
        </w:rPr>
        <w:t>Applications for these grants should be made on the form which is to be found</w:t>
      </w:r>
      <w:r w:rsidR="00E1004E" w:rsidRPr="0039132C">
        <w:rPr>
          <w:rFonts w:ascii="Arial" w:hAnsi="Arial" w:cs="Arial"/>
          <w:sz w:val="24"/>
          <w:szCs w:val="24"/>
        </w:rPr>
        <w:t xml:space="preserve"> on the Mission page o</w:t>
      </w:r>
      <w:r w:rsidR="00B9598E" w:rsidRPr="0039132C">
        <w:rPr>
          <w:rFonts w:ascii="Arial" w:hAnsi="Arial" w:cs="Arial"/>
          <w:sz w:val="24"/>
          <w:szCs w:val="24"/>
        </w:rPr>
        <w:t xml:space="preserve">n the </w:t>
      </w:r>
      <w:r w:rsidR="00E1004E" w:rsidRPr="0039132C">
        <w:rPr>
          <w:rFonts w:ascii="Arial" w:hAnsi="Arial" w:cs="Arial"/>
          <w:sz w:val="24"/>
          <w:szCs w:val="24"/>
        </w:rPr>
        <w:t xml:space="preserve">St Johns </w:t>
      </w:r>
      <w:r w:rsidR="00B9598E" w:rsidRPr="0039132C">
        <w:rPr>
          <w:rFonts w:ascii="Arial" w:hAnsi="Arial" w:cs="Arial"/>
          <w:sz w:val="24"/>
          <w:szCs w:val="24"/>
        </w:rPr>
        <w:t>website.</w:t>
      </w:r>
      <w:r w:rsidRPr="0039132C">
        <w:rPr>
          <w:rFonts w:ascii="Arial" w:hAnsi="Arial" w:cs="Arial"/>
          <w:sz w:val="24"/>
          <w:szCs w:val="24"/>
        </w:rPr>
        <w:t xml:space="preserve"> </w:t>
      </w:r>
      <w:r w:rsidR="00E1004E" w:rsidRPr="0039132C">
        <w:rPr>
          <w:rFonts w:ascii="Arial" w:hAnsi="Arial" w:cs="Arial"/>
          <w:sz w:val="24"/>
          <w:szCs w:val="24"/>
        </w:rPr>
        <w:t xml:space="preserve">Any ad-hoc payments </w:t>
      </w:r>
      <w:r w:rsidRPr="0039132C">
        <w:rPr>
          <w:rFonts w:ascii="Arial" w:hAnsi="Arial" w:cs="Arial"/>
          <w:sz w:val="24"/>
          <w:szCs w:val="24"/>
        </w:rPr>
        <w:t xml:space="preserve">should be approved by </w:t>
      </w:r>
      <w:r w:rsidR="00E1004E" w:rsidRPr="0039132C">
        <w:rPr>
          <w:rFonts w:ascii="Arial" w:hAnsi="Arial" w:cs="Arial"/>
          <w:sz w:val="24"/>
          <w:szCs w:val="24"/>
        </w:rPr>
        <w:t xml:space="preserve">the </w:t>
      </w:r>
      <w:r w:rsidRPr="0039132C">
        <w:rPr>
          <w:rFonts w:ascii="Arial" w:hAnsi="Arial" w:cs="Arial"/>
          <w:sz w:val="24"/>
          <w:szCs w:val="24"/>
        </w:rPr>
        <w:t xml:space="preserve">Mission Group </w:t>
      </w:r>
      <w:r w:rsidR="00BA68B5" w:rsidRPr="0039132C">
        <w:rPr>
          <w:rFonts w:ascii="Arial" w:hAnsi="Arial" w:cs="Arial"/>
          <w:sz w:val="24"/>
          <w:szCs w:val="24"/>
        </w:rPr>
        <w:t>or</w:t>
      </w:r>
      <w:r w:rsidR="00E1004E" w:rsidRPr="0039132C">
        <w:rPr>
          <w:rFonts w:ascii="Arial" w:hAnsi="Arial" w:cs="Arial"/>
          <w:sz w:val="24"/>
          <w:szCs w:val="24"/>
        </w:rPr>
        <w:t xml:space="preserve"> the Standing Committee.</w:t>
      </w:r>
    </w:p>
    <w:p w14:paraId="76732E84" w14:textId="77777777" w:rsidR="00F569CF" w:rsidRPr="0039132C" w:rsidRDefault="00F569CF" w:rsidP="00762062">
      <w:pPr>
        <w:pStyle w:val="Body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9132C">
        <w:rPr>
          <w:rFonts w:ascii="Arial" w:hAnsi="Arial" w:cs="Arial"/>
          <w:sz w:val="24"/>
          <w:szCs w:val="24"/>
        </w:rPr>
        <w:t>In October</w:t>
      </w:r>
      <w:r w:rsidR="003834BE" w:rsidRPr="0039132C">
        <w:rPr>
          <w:rFonts w:ascii="Arial" w:hAnsi="Arial" w:cs="Arial"/>
          <w:sz w:val="24"/>
          <w:szCs w:val="24"/>
        </w:rPr>
        <w:t xml:space="preserve"> or November</w:t>
      </w:r>
      <w:r w:rsidRPr="0039132C">
        <w:rPr>
          <w:rFonts w:ascii="Arial" w:hAnsi="Arial" w:cs="Arial"/>
          <w:sz w:val="24"/>
          <w:szCs w:val="24"/>
        </w:rPr>
        <w:t xml:space="preserve">, the PCC will receive a report from the Mission Group with details of the charities being supported and </w:t>
      </w:r>
      <w:r w:rsidR="002D0BF7" w:rsidRPr="0039132C">
        <w:rPr>
          <w:rFonts w:ascii="Arial" w:hAnsi="Arial" w:cs="Arial"/>
          <w:sz w:val="24"/>
          <w:szCs w:val="24"/>
        </w:rPr>
        <w:t xml:space="preserve">the PCC </w:t>
      </w:r>
      <w:r w:rsidRPr="0039132C">
        <w:rPr>
          <w:rFonts w:ascii="Arial" w:hAnsi="Arial" w:cs="Arial"/>
          <w:sz w:val="24"/>
          <w:szCs w:val="24"/>
        </w:rPr>
        <w:t xml:space="preserve">will confirm how much of </w:t>
      </w:r>
      <w:r w:rsidR="002D0019" w:rsidRPr="0039132C">
        <w:rPr>
          <w:rFonts w:ascii="Arial" w:hAnsi="Arial" w:cs="Arial"/>
          <w:sz w:val="24"/>
          <w:szCs w:val="24"/>
        </w:rPr>
        <w:t>the</w:t>
      </w:r>
      <w:r w:rsidRPr="0039132C">
        <w:rPr>
          <w:rFonts w:ascii="Arial" w:hAnsi="Arial" w:cs="Arial"/>
          <w:sz w:val="24"/>
          <w:szCs w:val="24"/>
        </w:rPr>
        <w:t xml:space="preserve"> tithe is still to be allocated.</w:t>
      </w:r>
    </w:p>
    <w:p w14:paraId="3BCC64FB" w14:textId="2B30088F" w:rsidR="00F569CF" w:rsidRPr="0039132C" w:rsidRDefault="00F569CF" w:rsidP="00762062">
      <w:pPr>
        <w:pStyle w:val="Body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9132C">
        <w:rPr>
          <w:rFonts w:ascii="Arial" w:hAnsi="Arial" w:cs="Arial"/>
          <w:sz w:val="24"/>
          <w:szCs w:val="24"/>
        </w:rPr>
        <w:t>Towards the end o</w:t>
      </w:r>
      <w:r w:rsidR="00B07D21" w:rsidRPr="0039132C">
        <w:rPr>
          <w:rFonts w:ascii="Arial" w:hAnsi="Arial" w:cs="Arial"/>
          <w:sz w:val="24"/>
          <w:szCs w:val="24"/>
        </w:rPr>
        <w:t>f the year, the Mission Group</w:t>
      </w:r>
      <w:r w:rsidRPr="0039132C">
        <w:rPr>
          <w:rFonts w:ascii="Arial" w:hAnsi="Arial" w:cs="Arial"/>
          <w:sz w:val="24"/>
          <w:szCs w:val="24"/>
        </w:rPr>
        <w:t xml:space="preserve"> will review </w:t>
      </w:r>
      <w:r w:rsidR="00BA68B5" w:rsidRPr="0039132C">
        <w:rPr>
          <w:rFonts w:ascii="Arial" w:hAnsi="Arial" w:cs="Arial"/>
          <w:sz w:val="24"/>
          <w:szCs w:val="24"/>
        </w:rPr>
        <w:t xml:space="preserve">the total </w:t>
      </w:r>
      <w:r w:rsidRPr="0039132C">
        <w:rPr>
          <w:rFonts w:ascii="Arial" w:hAnsi="Arial" w:cs="Arial"/>
          <w:sz w:val="24"/>
          <w:szCs w:val="24"/>
        </w:rPr>
        <w:t xml:space="preserve">giving </w:t>
      </w:r>
      <w:r w:rsidR="00B9598E" w:rsidRPr="0039132C">
        <w:rPr>
          <w:rFonts w:ascii="Arial" w:hAnsi="Arial" w:cs="Arial"/>
          <w:sz w:val="24"/>
          <w:szCs w:val="24"/>
        </w:rPr>
        <w:t xml:space="preserve">for the </w:t>
      </w:r>
      <w:r w:rsidR="002344DF" w:rsidRPr="0039132C">
        <w:rPr>
          <w:rFonts w:ascii="Arial" w:hAnsi="Arial" w:cs="Arial"/>
          <w:sz w:val="24"/>
          <w:szCs w:val="24"/>
        </w:rPr>
        <w:t>year and</w:t>
      </w:r>
      <w:r w:rsidRPr="0039132C">
        <w:rPr>
          <w:rFonts w:ascii="Arial" w:hAnsi="Arial" w:cs="Arial"/>
          <w:sz w:val="24"/>
          <w:szCs w:val="24"/>
        </w:rPr>
        <w:t xml:space="preserve"> allocate any funds that remain from the </w:t>
      </w:r>
      <w:r w:rsidR="002D0BF7" w:rsidRPr="0039132C">
        <w:rPr>
          <w:rFonts w:ascii="Arial" w:hAnsi="Arial" w:cs="Arial"/>
          <w:sz w:val="24"/>
          <w:szCs w:val="24"/>
        </w:rPr>
        <w:t>tithe to existing or new charities.</w:t>
      </w:r>
    </w:p>
    <w:p w14:paraId="2B4AC1BC" w14:textId="77777777" w:rsidR="00E54DDB" w:rsidRPr="0039132C" w:rsidRDefault="00E54DDB" w:rsidP="00770AB2">
      <w:pPr>
        <w:pStyle w:val="Body"/>
        <w:tabs>
          <w:tab w:val="left" w:pos="567"/>
          <w:tab w:val="right" w:pos="3969"/>
        </w:tabs>
        <w:rPr>
          <w:rFonts w:ascii="Arial" w:hAnsi="Arial" w:cs="Arial"/>
          <w:sz w:val="24"/>
          <w:szCs w:val="24"/>
        </w:rPr>
      </w:pPr>
    </w:p>
    <w:p w14:paraId="0FB5415F" w14:textId="77777777" w:rsidR="00E863B1" w:rsidRPr="0039132C" w:rsidRDefault="00E863B1" w:rsidP="00A16A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</w:p>
    <w:p w14:paraId="58CCE5D9" w14:textId="09210484" w:rsidR="00A16A48" w:rsidRPr="0039132C" w:rsidRDefault="0054454E" w:rsidP="00DC4F62">
      <w:pPr>
        <w:pStyle w:val="Body"/>
        <w:tabs>
          <w:tab w:val="left" w:pos="567"/>
          <w:tab w:val="right" w:pos="3969"/>
        </w:tabs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39132C">
        <w:rPr>
          <w:rFonts w:ascii="Arial" w:hAnsi="Arial" w:cs="Arial"/>
          <w:b/>
          <w:bCs/>
          <w:color w:val="auto"/>
          <w:sz w:val="24"/>
          <w:szCs w:val="24"/>
        </w:rPr>
        <w:t>Charities Supported</w:t>
      </w:r>
    </w:p>
    <w:p w14:paraId="3EEC2A48" w14:textId="77777777" w:rsidR="0054454E" w:rsidRPr="0039132C" w:rsidRDefault="0054454E" w:rsidP="00DC4F62">
      <w:pPr>
        <w:pStyle w:val="Body"/>
        <w:tabs>
          <w:tab w:val="left" w:pos="567"/>
          <w:tab w:val="right" w:pos="3969"/>
        </w:tabs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ED748E3" w14:textId="463FA2BC" w:rsidR="0054454E" w:rsidRPr="0039132C" w:rsidRDefault="0054454E" w:rsidP="00DC4F62">
      <w:pPr>
        <w:pStyle w:val="Body"/>
        <w:tabs>
          <w:tab w:val="left" w:pos="567"/>
          <w:tab w:val="right" w:pos="3969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39132C">
        <w:rPr>
          <w:rFonts w:ascii="Arial" w:hAnsi="Arial" w:cs="Arial"/>
          <w:color w:val="auto"/>
          <w:sz w:val="24"/>
          <w:szCs w:val="24"/>
        </w:rPr>
        <w:t>In 2022 the following charities were supported:</w:t>
      </w:r>
    </w:p>
    <w:p w14:paraId="114DA64D" w14:textId="77777777" w:rsidR="0054454E" w:rsidRPr="0039132C" w:rsidRDefault="0054454E" w:rsidP="00DC4F62">
      <w:pPr>
        <w:pStyle w:val="Body"/>
        <w:tabs>
          <w:tab w:val="left" w:pos="567"/>
          <w:tab w:val="right" w:pos="3969"/>
        </w:tabs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0"/>
      </w:tblGrid>
      <w:tr w:rsidR="0054454E" w:rsidRPr="0039132C" w14:paraId="7AA74BD9" w14:textId="77777777" w:rsidTr="00C50C08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7A571" w14:textId="73F94CD5" w:rsidR="0054454E" w:rsidRPr="0039132C" w:rsidRDefault="0054454E" w:rsidP="00C50C08">
            <w:pPr>
              <w:suppressAutoHyphens/>
              <w:rPr>
                <w:rFonts w:ascii="Arial" w:hAnsi="Arial" w:cs="Arial"/>
                <w:bCs/>
              </w:rPr>
            </w:pPr>
            <w:r w:rsidRPr="0039132C">
              <w:rPr>
                <w:rFonts w:ascii="Arial" w:hAnsi="Arial" w:cs="Arial"/>
                <w:b/>
              </w:rPr>
              <w:t>Overseas</w:t>
            </w:r>
            <w:r w:rsidRPr="0039132C">
              <w:rPr>
                <w:rFonts w:ascii="Arial" w:hAnsi="Arial" w:cs="Arial"/>
                <w:bCs/>
              </w:rPr>
              <w:t>: Bethlehem School, Bible Society, Church Missionary Society, Crosslinks, Uyogo, CHIT</w:t>
            </w:r>
          </w:p>
          <w:p w14:paraId="52F2ADE1" w14:textId="77777777" w:rsidR="0054454E" w:rsidRPr="0039132C" w:rsidRDefault="0054454E" w:rsidP="00C50C08">
            <w:pPr>
              <w:suppressAutoHyphens/>
              <w:rPr>
                <w:rFonts w:ascii="Arial" w:hAnsi="Arial" w:cs="Arial"/>
                <w:bCs/>
              </w:rPr>
            </w:pPr>
          </w:p>
          <w:p w14:paraId="510CFF34" w14:textId="73B42C84" w:rsidR="0054454E" w:rsidRPr="0039132C" w:rsidRDefault="0054454E" w:rsidP="00C50C08">
            <w:pPr>
              <w:suppressAutoHyphens/>
              <w:rPr>
                <w:rFonts w:ascii="Arial" w:hAnsi="Arial" w:cs="Arial"/>
                <w:b/>
              </w:rPr>
            </w:pPr>
            <w:r w:rsidRPr="0039132C">
              <w:rPr>
                <w:rFonts w:ascii="Arial" w:hAnsi="Arial" w:cs="Arial"/>
                <w:b/>
              </w:rPr>
              <w:t>Home</w:t>
            </w:r>
            <w:r w:rsidRPr="0039132C">
              <w:rPr>
                <w:rFonts w:ascii="Arial" w:hAnsi="Arial" w:cs="Arial"/>
                <w:bCs/>
              </w:rPr>
              <w:t xml:space="preserve"> : KYFC, Church Army, Cross Teach, Spring Playgroup, Dave and Kay Stoker, Foodbank, Flourish, Taste Life, Compassionate Kenilworth</w:t>
            </w:r>
          </w:p>
        </w:tc>
      </w:tr>
      <w:tr w:rsidR="0054454E" w14:paraId="7FC6ADC2" w14:textId="77777777" w:rsidTr="0054454E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F15BB7D" w14:textId="2AB92F6E" w:rsidR="0054454E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14:paraId="4879AA7F" w14:textId="77777777" w:rsidTr="0054454E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404D55B" w14:textId="1D5D497C" w:rsidR="0054454E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14:paraId="4240D377" w14:textId="77777777" w:rsidTr="0054454E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E8EAAF1" w14:textId="1ED8DF35" w:rsidR="0054454E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14:paraId="50DBC236" w14:textId="77777777" w:rsidTr="0054454E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BFD5612" w14:textId="00F7C0D6" w:rsidR="0054454E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14:paraId="0633F9F5" w14:textId="77777777" w:rsidTr="0054454E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9B66B02" w14:textId="3BAD7748" w:rsidR="0054454E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14:paraId="5455DBAB" w14:textId="77777777" w:rsidTr="00C50C08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308D165" w14:textId="08C5DF13" w:rsidR="0054454E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14:paraId="133F15BF" w14:textId="77777777" w:rsidTr="0054454E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E47CAE2" w14:textId="4FD618F3" w:rsidR="0054454E" w:rsidRDefault="0054454E" w:rsidP="00C50C08">
            <w:pPr>
              <w:suppressAutoHyphens/>
              <w:rPr>
                <w:b/>
                <w:sz w:val="20"/>
              </w:rPr>
            </w:pPr>
          </w:p>
        </w:tc>
      </w:tr>
      <w:tr w:rsidR="0054454E" w14:paraId="78EEAE37" w14:textId="77777777" w:rsidTr="0054454E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6320B76" w14:textId="6387F047" w:rsidR="0054454E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14:paraId="15BC36BD" w14:textId="77777777" w:rsidTr="0054454E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79E7A06" w14:textId="7119B100" w:rsidR="0054454E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14:paraId="5D50F218" w14:textId="77777777" w:rsidTr="0054454E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08C9C31" w14:textId="01A84BB5" w:rsidR="0054454E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14:paraId="786792CA" w14:textId="77777777" w:rsidTr="0054454E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5646AF3" w14:textId="306D183A" w:rsidR="0054454E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14:paraId="508BE966" w14:textId="77777777" w:rsidTr="0054454E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8773729" w14:textId="644728C2" w:rsidR="0054454E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:rsidRPr="006A0953" w14:paraId="02694153" w14:textId="77777777" w:rsidTr="0054454E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285CF2A" w14:textId="18F38EF5" w:rsidR="0054454E" w:rsidRPr="006A0953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:rsidRPr="006A0953" w14:paraId="449E6EBE" w14:textId="77777777" w:rsidTr="0054454E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AFBB012" w14:textId="52BFFB29" w:rsidR="0054454E" w:rsidRPr="006A0953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:rsidRPr="006A0953" w14:paraId="06DA023C" w14:textId="77777777" w:rsidTr="0054454E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D0B5574" w14:textId="2A13298A" w:rsidR="0054454E" w:rsidRPr="006A0953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14:paraId="7C8DF1FA" w14:textId="77777777" w:rsidTr="00C50C08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4946906" w14:textId="3C2D5E36" w:rsidR="0054454E" w:rsidRDefault="0054454E" w:rsidP="00C50C08">
            <w:pPr>
              <w:suppressAutoHyphens/>
              <w:rPr>
                <w:sz w:val="20"/>
              </w:rPr>
            </w:pPr>
          </w:p>
        </w:tc>
      </w:tr>
      <w:tr w:rsidR="0054454E" w14:paraId="60A29DF5" w14:textId="77777777" w:rsidTr="00C50C08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90C1D" w14:textId="77777777" w:rsidR="0054454E" w:rsidRDefault="0054454E" w:rsidP="00C50C08"/>
        </w:tc>
      </w:tr>
    </w:tbl>
    <w:p w14:paraId="53006419" w14:textId="77777777" w:rsidR="0054454E" w:rsidRPr="0054454E" w:rsidRDefault="0054454E" w:rsidP="00DC4F62">
      <w:pPr>
        <w:pStyle w:val="Body"/>
        <w:tabs>
          <w:tab w:val="left" w:pos="567"/>
          <w:tab w:val="right" w:pos="3969"/>
        </w:tabs>
        <w:jc w:val="both"/>
        <w:rPr>
          <w:color w:val="auto"/>
          <w:sz w:val="24"/>
          <w:szCs w:val="24"/>
        </w:rPr>
      </w:pPr>
    </w:p>
    <w:sectPr w:rsidR="0054454E" w:rsidRPr="00544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B6CE" w14:textId="77777777" w:rsidR="00E901C1" w:rsidRDefault="00E901C1" w:rsidP="00692DAE">
      <w:r>
        <w:separator/>
      </w:r>
    </w:p>
  </w:endnote>
  <w:endnote w:type="continuationSeparator" w:id="0">
    <w:p w14:paraId="5D130456" w14:textId="77777777" w:rsidR="00E901C1" w:rsidRDefault="00E901C1" w:rsidP="006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65EE" w14:textId="77777777" w:rsidR="00620388" w:rsidRDefault="00620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9056" w14:textId="5AA40FE3" w:rsidR="00A103C0" w:rsidRPr="003F497D" w:rsidRDefault="00636FA6" w:rsidP="00692DAE">
    <w:pPr>
      <w:tabs>
        <w:tab w:val="center" w:pos="4536"/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47A8F">
      <w:rPr>
        <w:rFonts w:ascii="Arial" w:hAnsi="Arial" w:cs="Arial"/>
        <w:sz w:val="20"/>
        <w:szCs w:val="20"/>
      </w:rPr>
      <w:t xml:space="preserve">page </w:t>
    </w:r>
    <w:r w:rsidR="00547A8F" w:rsidRPr="00547A8F">
      <w:rPr>
        <w:rFonts w:ascii="Arial" w:hAnsi="Arial" w:cs="Arial"/>
        <w:sz w:val="20"/>
        <w:szCs w:val="20"/>
      </w:rPr>
      <w:fldChar w:fldCharType="begin"/>
    </w:r>
    <w:r w:rsidR="00547A8F" w:rsidRPr="00547A8F">
      <w:rPr>
        <w:rFonts w:ascii="Arial" w:hAnsi="Arial" w:cs="Arial"/>
        <w:sz w:val="20"/>
        <w:szCs w:val="20"/>
      </w:rPr>
      <w:instrText xml:space="preserve"> PAGE   \* MERGEFORMAT </w:instrText>
    </w:r>
    <w:r w:rsidR="00547A8F" w:rsidRPr="00547A8F">
      <w:rPr>
        <w:rFonts w:ascii="Arial" w:hAnsi="Arial" w:cs="Arial"/>
        <w:sz w:val="20"/>
        <w:szCs w:val="20"/>
      </w:rPr>
      <w:fldChar w:fldCharType="separate"/>
    </w:r>
    <w:r w:rsidR="006A7FE2">
      <w:rPr>
        <w:rFonts w:ascii="Arial" w:hAnsi="Arial" w:cs="Arial"/>
        <w:noProof/>
        <w:sz w:val="20"/>
        <w:szCs w:val="20"/>
      </w:rPr>
      <w:t>1</w:t>
    </w:r>
    <w:r w:rsidR="00547A8F" w:rsidRPr="00547A8F">
      <w:rPr>
        <w:rFonts w:ascii="Arial" w:hAnsi="Arial" w:cs="Arial"/>
        <w:noProof/>
        <w:sz w:val="20"/>
        <w:szCs w:val="20"/>
      </w:rPr>
      <w:fldChar w:fldCharType="end"/>
    </w:r>
    <w:r w:rsidR="00B774B4">
      <w:rPr>
        <w:rFonts w:ascii="Arial" w:hAnsi="Arial" w:cs="Arial"/>
        <w:sz w:val="20"/>
        <w:szCs w:val="20"/>
      </w:rPr>
      <w:t xml:space="preserve"> of </w:t>
    </w:r>
    <w:r w:rsidR="000B1F90">
      <w:rPr>
        <w:rFonts w:ascii="Arial" w:hAnsi="Arial" w:cs="Arial"/>
        <w:sz w:val="20"/>
        <w:szCs w:val="20"/>
      </w:rPr>
      <w:t>1</w:t>
    </w:r>
    <w:r w:rsidR="00C05437">
      <w:rPr>
        <w:rFonts w:ascii="Arial" w:hAnsi="Arial" w:cs="Arial"/>
        <w:sz w:val="20"/>
        <w:szCs w:val="20"/>
      </w:rPr>
      <w:tab/>
    </w:r>
    <w:r w:rsidR="00620388">
      <w:rPr>
        <w:rFonts w:ascii="Arial" w:hAnsi="Arial" w:cs="Arial"/>
        <w:sz w:val="20"/>
        <w:szCs w:val="20"/>
      </w:rPr>
      <w:t>September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6873" w14:textId="77777777" w:rsidR="00620388" w:rsidRDefault="00620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01A2" w14:textId="77777777" w:rsidR="00E901C1" w:rsidRDefault="00E901C1" w:rsidP="00692DAE">
      <w:r>
        <w:separator/>
      </w:r>
    </w:p>
  </w:footnote>
  <w:footnote w:type="continuationSeparator" w:id="0">
    <w:p w14:paraId="07263574" w14:textId="77777777" w:rsidR="00E901C1" w:rsidRDefault="00E901C1" w:rsidP="0069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54C2" w14:textId="77777777" w:rsidR="00620388" w:rsidRDefault="00620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8DC2" w14:textId="35A6B875" w:rsidR="00636FA6" w:rsidRPr="00636FA6" w:rsidRDefault="00636FA6" w:rsidP="00692DAE">
    <w:pPr>
      <w:pStyle w:val="Header"/>
      <w:tabs>
        <w:tab w:val="clear" w:pos="9026"/>
        <w:tab w:val="right" w:pos="9639"/>
      </w:tabs>
      <w:rPr>
        <w:rFonts w:ascii="Arial" w:hAnsi="Arial" w:cs="Arial"/>
        <w:sz w:val="20"/>
        <w:szCs w:val="20"/>
      </w:rPr>
    </w:pPr>
    <w:r w:rsidRPr="00636FA6">
      <w:rPr>
        <w:rFonts w:ascii="Arial" w:hAnsi="Arial" w:cs="Arial"/>
        <w:sz w:val="20"/>
        <w:szCs w:val="20"/>
      </w:rPr>
      <w:t xml:space="preserve">St John’s </w:t>
    </w:r>
    <w:r w:rsidR="00620388">
      <w:rPr>
        <w:rFonts w:ascii="Arial" w:hAnsi="Arial" w:cs="Arial"/>
        <w:sz w:val="20"/>
        <w:szCs w:val="20"/>
      </w:rPr>
      <w:t>The Evangelist</w:t>
    </w:r>
    <w:r w:rsidR="0046314C">
      <w:rPr>
        <w:rFonts w:ascii="Arial" w:hAnsi="Arial" w:cs="Arial"/>
        <w:sz w:val="20"/>
        <w:szCs w:val="20"/>
      </w:rPr>
      <w:tab/>
    </w:r>
    <w:r w:rsidR="0046314C">
      <w:rPr>
        <w:rFonts w:ascii="Arial" w:hAnsi="Arial" w:cs="Arial"/>
        <w:sz w:val="20"/>
        <w:szCs w:val="20"/>
      </w:rPr>
      <w:tab/>
    </w:r>
    <w:r w:rsidR="00620388">
      <w:rPr>
        <w:rFonts w:ascii="Arial" w:hAnsi="Arial" w:cs="Arial"/>
        <w:sz w:val="20"/>
        <w:szCs w:val="20"/>
      </w:rPr>
      <w:t>September 2023</w:t>
    </w:r>
  </w:p>
  <w:p w14:paraId="24AB2DA2" w14:textId="77777777" w:rsidR="00636FA6" w:rsidRDefault="00636FA6" w:rsidP="00692D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360C" w14:textId="77777777" w:rsidR="00620388" w:rsidRDefault="00620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E3B"/>
    <w:multiLevelType w:val="hybridMultilevel"/>
    <w:tmpl w:val="0CAA58C6"/>
    <w:lvl w:ilvl="0" w:tplc="39F83D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16304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86BDE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16B1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A8FDA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9E10E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AC53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40266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842C9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96D11AA"/>
    <w:multiLevelType w:val="hybridMultilevel"/>
    <w:tmpl w:val="9D3C7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00C5"/>
    <w:multiLevelType w:val="multilevel"/>
    <w:tmpl w:val="660A04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DBD5D96"/>
    <w:multiLevelType w:val="multilevel"/>
    <w:tmpl w:val="BEC2A2F6"/>
    <w:numStyleLink w:val="Legal"/>
  </w:abstractNum>
  <w:abstractNum w:abstractNumId="4" w15:restartNumberingAfterBreak="0">
    <w:nsid w:val="368C4D20"/>
    <w:multiLevelType w:val="multilevel"/>
    <w:tmpl w:val="BEC2A2F6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DB02CFB"/>
    <w:multiLevelType w:val="hybridMultilevel"/>
    <w:tmpl w:val="BEC65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845BD"/>
    <w:multiLevelType w:val="multilevel"/>
    <w:tmpl w:val="4AAADAE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num w:numId="1" w16cid:durableId="902983973">
    <w:abstractNumId w:val="5"/>
  </w:num>
  <w:num w:numId="2" w16cid:durableId="1252154911">
    <w:abstractNumId w:val="2"/>
  </w:num>
  <w:num w:numId="3" w16cid:durableId="270433221">
    <w:abstractNumId w:val="6"/>
  </w:num>
  <w:num w:numId="4" w16cid:durableId="1980331451">
    <w:abstractNumId w:val="4"/>
  </w:num>
  <w:num w:numId="5" w16cid:durableId="1071391356">
    <w:abstractNumId w:val="3"/>
  </w:num>
  <w:num w:numId="6" w16cid:durableId="92749883">
    <w:abstractNumId w:val="0"/>
    <w:lvlOverride w:ilvl="0">
      <w:startOverride w:val="2"/>
    </w:lvlOverride>
  </w:num>
  <w:num w:numId="7" w16cid:durableId="2015453270">
    <w:abstractNumId w:val="0"/>
    <w:lvlOverride w:ilvl="0">
      <w:startOverride w:val="3"/>
    </w:lvlOverride>
  </w:num>
  <w:num w:numId="8" w16cid:durableId="1602567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C0"/>
    <w:rsid w:val="00025575"/>
    <w:rsid w:val="00027664"/>
    <w:rsid w:val="000438FE"/>
    <w:rsid w:val="00062054"/>
    <w:rsid w:val="000A4E9A"/>
    <w:rsid w:val="000B1887"/>
    <w:rsid w:val="000B1F90"/>
    <w:rsid w:val="001345BE"/>
    <w:rsid w:val="001601DB"/>
    <w:rsid w:val="001E6F76"/>
    <w:rsid w:val="002344DF"/>
    <w:rsid w:val="00246D85"/>
    <w:rsid w:val="002710EC"/>
    <w:rsid w:val="002D0019"/>
    <w:rsid w:val="002D0BF7"/>
    <w:rsid w:val="002D1C1F"/>
    <w:rsid w:val="002D58B7"/>
    <w:rsid w:val="002F5715"/>
    <w:rsid w:val="00301DDA"/>
    <w:rsid w:val="00306C4D"/>
    <w:rsid w:val="003377E8"/>
    <w:rsid w:val="003834BE"/>
    <w:rsid w:val="0039132C"/>
    <w:rsid w:val="003C426B"/>
    <w:rsid w:val="003E1A5D"/>
    <w:rsid w:val="003E5CDA"/>
    <w:rsid w:val="003F497D"/>
    <w:rsid w:val="0045243D"/>
    <w:rsid w:val="004528D1"/>
    <w:rsid w:val="0046314C"/>
    <w:rsid w:val="004A02A5"/>
    <w:rsid w:val="0054454E"/>
    <w:rsid w:val="0054519D"/>
    <w:rsid w:val="00547A8F"/>
    <w:rsid w:val="00596443"/>
    <w:rsid w:val="005A6263"/>
    <w:rsid w:val="005F183B"/>
    <w:rsid w:val="005F7179"/>
    <w:rsid w:val="00606960"/>
    <w:rsid w:val="00620388"/>
    <w:rsid w:val="006353CA"/>
    <w:rsid w:val="00636FA6"/>
    <w:rsid w:val="00656DCC"/>
    <w:rsid w:val="00692DAE"/>
    <w:rsid w:val="006A7FE2"/>
    <w:rsid w:val="00762062"/>
    <w:rsid w:val="00770AB2"/>
    <w:rsid w:val="00773800"/>
    <w:rsid w:val="00776BFC"/>
    <w:rsid w:val="007D0C96"/>
    <w:rsid w:val="007E0B0B"/>
    <w:rsid w:val="00811DBF"/>
    <w:rsid w:val="008472D6"/>
    <w:rsid w:val="0088340C"/>
    <w:rsid w:val="00885169"/>
    <w:rsid w:val="008A16A6"/>
    <w:rsid w:val="008A1CDA"/>
    <w:rsid w:val="008A5972"/>
    <w:rsid w:val="008F0E5B"/>
    <w:rsid w:val="009622E1"/>
    <w:rsid w:val="00966775"/>
    <w:rsid w:val="009B37AF"/>
    <w:rsid w:val="00A103C0"/>
    <w:rsid w:val="00A16A48"/>
    <w:rsid w:val="00A52F6D"/>
    <w:rsid w:val="00A66922"/>
    <w:rsid w:val="00A74B32"/>
    <w:rsid w:val="00A835AF"/>
    <w:rsid w:val="00AE6B80"/>
    <w:rsid w:val="00B07D21"/>
    <w:rsid w:val="00B640DA"/>
    <w:rsid w:val="00B674B0"/>
    <w:rsid w:val="00B774B4"/>
    <w:rsid w:val="00B8665F"/>
    <w:rsid w:val="00B9598E"/>
    <w:rsid w:val="00B9690D"/>
    <w:rsid w:val="00B97324"/>
    <w:rsid w:val="00BA68B5"/>
    <w:rsid w:val="00BE1831"/>
    <w:rsid w:val="00C05437"/>
    <w:rsid w:val="00C244F9"/>
    <w:rsid w:val="00C47487"/>
    <w:rsid w:val="00CB504D"/>
    <w:rsid w:val="00CB5F9F"/>
    <w:rsid w:val="00CD0383"/>
    <w:rsid w:val="00D13516"/>
    <w:rsid w:val="00D27620"/>
    <w:rsid w:val="00D32951"/>
    <w:rsid w:val="00D754DB"/>
    <w:rsid w:val="00DC470A"/>
    <w:rsid w:val="00DC4F62"/>
    <w:rsid w:val="00DF2BE3"/>
    <w:rsid w:val="00DF68AB"/>
    <w:rsid w:val="00E1004E"/>
    <w:rsid w:val="00E54DDB"/>
    <w:rsid w:val="00E60957"/>
    <w:rsid w:val="00E863B1"/>
    <w:rsid w:val="00E901C1"/>
    <w:rsid w:val="00EB31DC"/>
    <w:rsid w:val="00EF7583"/>
    <w:rsid w:val="00F569CF"/>
    <w:rsid w:val="00F71671"/>
    <w:rsid w:val="00F803D1"/>
    <w:rsid w:val="00F83FC2"/>
    <w:rsid w:val="00FC6FE7"/>
    <w:rsid w:val="00FD1613"/>
    <w:rsid w:val="00FD390B"/>
    <w:rsid w:val="00F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FCE4E"/>
  <w15:docId w15:val="{30A0B14E-0A5B-4DE6-BE71-A422BF06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F4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4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7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4C"/>
    <w:rPr>
      <w:rFonts w:ascii="Tahoma" w:hAnsi="Tahoma" w:cs="Tahoma"/>
      <w:sz w:val="16"/>
      <w:szCs w:val="16"/>
      <w:lang w:val="en-US" w:eastAsia="en-US"/>
    </w:rPr>
  </w:style>
  <w:style w:type="paragraph" w:customStyle="1" w:styleId="SubheadStJohnsAnnualReport">
    <w:name w:val="Subhead St Johns Annual Report"/>
    <w:basedOn w:val="Normal"/>
    <w:link w:val="SubheadStJohnsAnnualReportChar"/>
    <w:qFormat/>
    <w:rsid w:val="00301D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  <w:tab w:val="num" w:pos="5388"/>
      </w:tabs>
      <w:suppressAutoHyphens/>
      <w:spacing w:after="120"/>
      <w:ind w:left="284" w:hanging="284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bdr w:val="none" w:sz="0" w:space="0" w:color="auto"/>
      <w:lang w:val="en-GB" w:eastAsia="hi-IN" w:bidi="hi-IN"/>
    </w:rPr>
  </w:style>
  <w:style w:type="character" w:customStyle="1" w:styleId="SubheadStJohnsAnnualReportChar">
    <w:name w:val="Subhead St Johns Annual Report Char"/>
    <w:basedOn w:val="DefaultParagraphFont"/>
    <w:link w:val="SubheadStJohnsAnnualReport"/>
    <w:rsid w:val="00301DDA"/>
    <w:rPr>
      <w:rFonts w:ascii="Arial" w:eastAsia="SimSun" w:hAnsi="Arial" w:cs="Arial"/>
      <w:b/>
      <w:bCs/>
      <w:i/>
      <w:iCs/>
      <w:kern w:val="1"/>
      <w:sz w:val="28"/>
      <w:szCs w:val="28"/>
      <w:bdr w:val="none" w:sz="0" w:space="0" w:color="auto"/>
      <w:lang w:eastAsia="hi-IN" w:bidi="hi-IN"/>
    </w:rPr>
  </w:style>
  <w:style w:type="numbering" w:customStyle="1" w:styleId="Legal">
    <w:name w:val="Legal"/>
    <w:rsid w:val="00776BF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Broadbents</dc:creator>
  <cp:lastModifiedBy>Church Administrator</cp:lastModifiedBy>
  <cp:revision>8</cp:revision>
  <cp:lastPrinted>2016-11-18T11:57:00Z</cp:lastPrinted>
  <dcterms:created xsi:type="dcterms:W3CDTF">2023-09-29T09:36:00Z</dcterms:created>
  <dcterms:modified xsi:type="dcterms:W3CDTF">2023-09-29T10:27:00Z</dcterms:modified>
</cp:coreProperties>
</file>